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Call-Off Schedule 10 (Exit Management)</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988.0" w:type="dxa"/>
        <w:jc w:val="left"/>
        <w:tblInd w:w="1008.0" w:type="dxa"/>
        <w:tblLayout w:type="fixed"/>
        <w:tblLook w:val="0000"/>
      </w:tblPr>
      <w:tblGrid>
        <w:gridCol w:w="3060"/>
        <w:gridCol w:w="4928"/>
        <w:tblGridChange w:id="0">
          <w:tblGrid>
            <w:gridCol w:w="3060"/>
            <w:gridCol w:w="4928"/>
          </w:tblGrid>
        </w:tblGridChange>
      </w:tblGrid>
      <w:tr>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"Exclusive Assets"</w:t>
            </w:r>
          </w:p>
        </w:tc>
        <w:tc>
          <w:tcPr/>
          <w:p w:rsidR="00000000" w:rsidDel="00000000" w:rsidP="00000000" w:rsidRDefault="00000000" w:rsidRPr="00000000" w14:paraId="0000000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Assets used exclusively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the provision of the Deliverables;</w:t>
            </w:r>
          </w:p>
        </w:tc>
      </w:tr>
      <w:t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p>
        </w:tc>
        <w:tc>
          <w:tcPr/>
          <w:p w:rsidR="00000000" w:rsidDel="00000000" w:rsidP="00000000" w:rsidRDefault="00000000" w:rsidRPr="00000000" w14:paraId="0000000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w:t>
            </w:r>
          </w:p>
        </w:tc>
      </w:tr>
      <w:t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Manager"</w:t>
            </w:r>
          </w:p>
        </w:tc>
        <w:tc>
          <w:tcPr/>
          <w:p w:rsidR="00000000" w:rsidDel="00000000" w:rsidP="00000000" w:rsidRDefault="00000000" w:rsidRPr="00000000" w14:paraId="0000000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appointed by each Party to manage their respective obligations under this Schedule;</w:t>
            </w:r>
          </w:p>
        </w:tc>
      </w:tr>
      <w:t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Plan”</w:t>
            </w:r>
          </w:p>
        </w:tc>
        <w:tc>
          <w:tcPr/>
          <w:p w:rsidR="00000000" w:rsidDel="00000000" w:rsidP="00000000" w:rsidRDefault="00000000" w:rsidRPr="00000000" w14:paraId="0000000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plan produced and updated by the Supplier during the Initial Period in accordance with Paragraph 4 of this Schedule;</w:t>
            </w:r>
          </w:p>
        </w:tc>
      </w:tr>
      <w:t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Book Value"</w:t>
            </w:r>
          </w:p>
        </w:tc>
        <w:tc>
          <w:tcPr/>
          <w:p w:rsidR="00000000" w:rsidDel="00000000" w:rsidP="00000000" w:rsidRDefault="00000000" w:rsidRPr="00000000" w14:paraId="0000000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"Non-Exclusive Assets"</w:t>
            </w:r>
          </w:p>
        </w:tc>
        <w:tc>
          <w:tcPr/>
          <w:p w:rsidR="00000000" w:rsidDel="00000000" w:rsidP="00000000" w:rsidRDefault="00000000" w:rsidRPr="00000000" w14:paraId="0000001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Supplier Assets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connection with the Deliverables but which are also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other purposes;</w:t>
            </w:r>
          </w:p>
        </w:tc>
      </w:tr>
      <w:t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p>
        </w:tc>
        <w:tc>
          <w:tcPr/>
          <w:p w:rsidR="00000000" w:rsidDel="00000000" w:rsidP="00000000" w:rsidRDefault="00000000" w:rsidRPr="00000000" w14:paraId="0000001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register and configuration database referred to in Paragraph 2.2 of this Schedule; </w:t>
            </w:r>
          </w:p>
        </w:tc>
      </w:tr>
      <w:t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Goods"</w:t>
            </w:r>
          </w:p>
        </w:tc>
        <w:tc>
          <w:tcPr/>
          <w:p w:rsidR="00000000" w:rsidDel="00000000" w:rsidP="00000000" w:rsidRDefault="00000000" w:rsidRPr="00000000" w14:paraId="00000014">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Services"</w:t>
            </w:r>
          </w:p>
        </w:tc>
        <w:tc>
          <w:tcPr/>
          <w:p w:rsidR="00000000" w:rsidDel="00000000" w:rsidP="00000000" w:rsidRDefault="00000000" w:rsidRPr="00000000" w14:paraId="0000001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w:t>
            </w:r>
          </w:p>
        </w:tc>
        <w:tc>
          <w:tcPr/>
          <w:p w:rsidR="00000000" w:rsidDel="00000000" w:rsidP="00000000" w:rsidRDefault="00000000" w:rsidRPr="00000000" w14:paraId="0000001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activities to be performed by the Supplier pursuant to the Exit Plan, and other assistance required by the Buyer pursuant to the Termination Assistance Notice;</w:t>
            </w:r>
          </w:p>
        </w:tc>
      </w:tr>
      <w:tr>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p>
        </w:tc>
        <w:tc>
          <w:tcPr/>
          <w:p w:rsidR="00000000" w:rsidDel="00000000" w:rsidP="00000000" w:rsidRDefault="00000000" w:rsidRPr="00000000" w14:paraId="0000001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5.1 of this Schedule;</w:t>
            </w:r>
          </w:p>
        </w:tc>
      </w:tr>
      <w:tr>
        <w:tc>
          <w:tcPr/>
          <w:p w:rsidR="00000000" w:rsidDel="00000000" w:rsidP="00000000" w:rsidRDefault="00000000" w:rsidRPr="00000000" w14:paraId="0000001B">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Period"</w:t>
            </w:r>
          </w:p>
        </w:tc>
        <w:tc>
          <w:tcPr/>
          <w:p w:rsidR="00000000" w:rsidDel="00000000" w:rsidP="00000000" w:rsidRDefault="00000000" w:rsidRPr="00000000" w14:paraId="0000001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specified in a Termination Assistance Notice for which the Supplier is required to provide the Termination Assistance as such period may be extended pursuant to Paragraph 5.2 of this Schedule;</w:t>
            </w:r>
          </w:p>
        </w:tc>
      </w:tr>
      <w:tr>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Assets"</w:t>
            </w:r>
          </w:p>
        </w:tc>
        <w:tc>
          <w:tcPr/>
          <w:p w:rsidR="00000000" w:rsidDel="00000000" w:rsidP="00000000" w:rsidRDefault="00000000" w:rsidRPr="00000000" w14:paraId="0000001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Exclusive Assets which are capable of legal transfer to the Buyer;</w:t>
            </w:r>
          </w:p>
        </w:tc>
      </w:tr>
      <w:tr>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Contracts"</w:t>
            </w:r>
          </w:p>
        </w:tc>
        <w:tc>
          <w:tcPr/>
          <w:p w:rsidR="00000000" w:rsidDel="00000000" w:rsidP="00000000" w:rsidRDefault="00000000" w:rsidRPr="00000000" w14:paraId="0000002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p>
        </w:tc>
        <w:tc>
          <w:tcPr/>
          <w:p w:rsidR="00000000" w:rsidDel="00000000" w:rsidP="00000000" w:rsidRDefault="00000000" w:rsidRPr="00000000" w14:paraId="0000002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8.2.1 of this Schedule;</w:t>
            </w:r>
          </w:p>
        </w:tc>
      </w:tr>
      <w:tr>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p>
        </w:tc>
        <w:tc>
          <w:tcPr/>
          <w:p w:rsidR="00000000" w:rsidDel="00000000" w:rsidP="00000000" w:rsidRDefault="00000000" w:rsidRPr="00000000" w14:paraId="00000024">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8.2.3 of this Schedule.</w:t>
            </w:r>
          </w:p>
        </w:tc>
      </w:tr>
    </w:tbl>
    <w:p w:rsidR="00000000" w:rsidDel="00000000" w:rsidP="00000000" w:rsidRDefault="00000000" w:rsidRPr="00000000" w14:paraId="00000025">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must always be prepared for contract exit </w:t>
      </w:r>
      <w:r w:rsidDel="00000000" w:rsidR="00000000" w:rsidRPr="00000000">
        <w:rPr>
          <w:rtl w:val="0"/>
        </w:rPr>
      </w:r>
    </w:p>
    <w:p w:rsidR="00000000" w:rsidDel="00000000" w:rsidP="00000000" w:rsidRDefault="00000000" w:rsidRPr="00000000" w14:paraId="0000002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27">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During the Contract Period, the Supplier shall promptly:</w:t>
      </w:r>
    </w:p>
    <w:p w:rsidR="00000000" w:rsidDel="00000000" w:rsidP="00000000" w:rsidRDefault="00000000" w:rsidRPr="00000000" w14:paraId="0000002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configuration database detailing the technical infrastructure and operating procedures through which the Supplier provides the Deliverables </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129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B">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Exclusive Assets listed in the Registers are clearly physically identified as such; and</w:t>
      </w:r>
    </w:p>
    <w:p w:rsidR="00000000" w:rsidDel="00000000" w:rsidP="00000000" w:rsidRDefault="00000000" w:rsidRPr="00000000" w14:paraId="0000002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2E">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2F">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Assisting re-competition for Deliverables </w:t>
      </w:r>
    </w:p>
    <w:p w:rsidR="00000000" w:rsidDel="00000000" w:rsidP="00000000" w:rsidRDefault="00000000" w:rsidRPr="00000000" w14:paraId="0000003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2">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3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4">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Exit Plan</w:t>
      </w:r>
    </w:p>
    <w:p w:rsidR="00000000" w:rsidDel="00000000" w:rsidP="00000000" w:rsidRDefault="00000000" w:rsidRPr="00000000" w14:paraId="0000003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three (3) Months after the Start Date, deliver to the Buyer an Exit Plan which complies with the requirements set out in Paragraph 4.3 of this Schedule and is otherwise reasonably satisfactory to the Buyer.</w:t>
      </w:r>
    </w:p>
    <w:p w:rsidR="00000000" w:rsidDel="00000000" w:rsidP="00000000" w:rsidRDefault="00000000" w:rsidRPr="00000000" w14:paraId="0000003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7">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Plan shall set out, as a minimum:</w:t>
      </w:r>
    </w:p>
    <w:p w:rsidR="00000000" w:rsidDel="00000000" w:rsidP="00000000" w:rsidRDefault="00000000" w:rsidRPr="00000000" w14:paraId="0000003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description of both the transfer and cessation processes, including a timetable; </w:t>
      </w:r>
    </w:p>
    <w:p w:rsidR="00000000" w:rsidDel="00000000" w:rsidP="00000000" w:rsidRDefault="00000000" w:rsidRPr="00000000" w14:paraId="0000003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Deliverables will transfer to the Replacement Supplier and/or the Buyer;</w:t>
      </w:r>
    </w:p>
    <w:p w:rsidR="00000000" w:rsidDel="00000000" w:rsidP="00000000" w:rsidRDefault="00000000" w:rsidRPr="00000000" w14:paraId="0000003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3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3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3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disposal of any redundant Deliverables and materials;</w:t>
      </w:r>
    </w:p>
    <w:p w:rsidR="00000000" w:rsidDel="00000000" w:rsidP="00000000" w:rsidRDefault="00000000" w:rsidRPr="00000000" w14:paraId="0000004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4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information or assistance reasonably required by the Buyer or a Replacement Supplier.</w:t>
      </w:r>
    </w:p>
    <w:p w:rsidR="00000000" w:rsidDel="00000000" w:rsidP="00000000" w:rsidRDefault="00000000" w:rsidRPr="00000000" w14:paraId="00000042">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43">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 and update the Exit Plan (and risk management plan) no less frequently than: </w:t>
      </w:r>
    </w:p>
    <w:p w:rsidR="00000000" w:rsidDel="00000000" w:rsidP="00000000" w:rsidRDefault="00000000" w:rsidRPr="00000000" w14:paraId="00000044">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every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[six (6) months]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throughout the Contract Period; and</w:t>
      </w:r>
    </w:p>
    <w:p w:rsidR="00000000" w:rsidDel="00000000" w:rsidP="00000000" w:rsidRDefault="00000000" w:rsidRPr="00000000" w14:paraId="00000045">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a request from the Buyer for an up-to-date copy of the Exit Plan; </w:t>
      </w:r>
    </w:p>
    <w:p w:rsidR="00000000" w:rsidDel="00000000" w:rsidP="00000000" w:rsidRDefault="00000000" w:rsidRPr="00000000" w14:paraId="00000046">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 Termination Assistance Notice,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ten (10)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date of the Termination Assistance Notice;</w:t>
      </w:r>
    </w:p>
    <w:p w:rsidR="00000000" w:rsidDel="00000000" w:rsidP="00000000" w:rsidRDefault="00000000" w:rsidRPr="00000000" w14:paraId="00000047">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following, any material change to the Deliverables (including all changes under the Variation Procedure); and  </w:t>
      </w:r>
    </w:p>
    <w:p w:rsidR="00000000" w:rsidDel="00000000" w:rsidP="00000000" w:rsidRDefault="00000000" w:rsidRPr="00000000" w14:paraId="0000004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jointly review and verify the Exit Plan if required by the Buyer and promptly correct any identified failures.</w:t>
      </w:r>
    </w:p>
    <w:p w:rsidR="00000000" w:rsidDel="00000000" w:rsidP="00000000" w:rsidRDefault="00000000" w:rsidRPr="00000000" w14:paraId="0000004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version of an Exit Plan agreed between the parties shall not be superseded by any draft submitted by the Supplier.</w:t>
      </w:r>
    </w:p>
    <w:p w:rsidR="00000000" w:rsidDel="00000000" w:rsidP="00000000" w:rsidRDefault="00000000" w:rsidRPr="00000000" w14:paraId="0000004B">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w:t>
      </w:r>
    </w:p>
    <w:p w:rsidR="00000000" w:rsidDel="00000000" w:rsidP="00000000" w:rsidRDefault="00000000" w:rsidRPr="00000000" w14:paraId="0000004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nature of the Termination Assistance required; and</w:t>
      </w:r>
    </w:p>
    <w:p w:rsidR="00000000" w:rsidDel="00000000" w:rsidP="00000000" w:rsidRDefault="00000000" w:rsidRPr="00000000" w14:paraId="0000004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start date and initial period during which it is anticipated that Termination Assistance will be required, which shall continue no longer than twelve (12) Months after the End Date.</w:t>
      </w:r>
    </w:p>
    <w:p w:rsidR="00000000" w:rsidDel="00000000" w:rsidP="00000000" w:rsidRDefault="00000000" w:rsidRPr="00000000" w14:paraId="0000004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5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extension shall extend the Termination Assistance Period beyond the date twelve (12) Months after the End Date; and </w:t>
      </w:r>
    </w:p>
    <w:p w:rsidR="00000000" w:rsidDel="00000000" w:rsidP="00000000" w:rsidRDefault="00000000" w:rsidRPr="00000000" w14:paraId="0000005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any such extension no later than twenty (20) Working Days prior to the date on which the Termination Assistance Period is otherwise due to expire. </w:t>
      </w:r>
    </w:p>
    <w:p w:rsidR="00000000" w:rsidDel="00000000" w:rsidP="00000000" w:rsidRDefault="00000000" w:rsidRPr="00000000" w14:paraId="00000052">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terminate its requirement for Termination Assistance by serving not less than twenty (20) Working Days' written notice upon the Supplier.</w:t>
      </w:r>
    </w:p>
    <w:p w:rsidR="00000000" w:rsidDel="00000000" w:rsidP="00000000" w:rsidRDefault="00000000" w:rsidRPr="00000000" w14:paraId="0000005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4">
      <w:pPr>
        <w:keepNext w:val="1"/>
        <w:keepLines w:val="1"/>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Period </w:t>
      </w:r>
      <w:r w:rsidDel="00000000" w:rsidR="00000000" w:rsidRPr="00000000">
        <w:rPr>
          <w:rtl w:val="0"/>
        </w:rPr>
      </w:r>
    </w:p>
    <w:p w:rsidR="00000000" w:rsidDel="00000000" w:rsidP="00000000" w:rsidRDefault="00000000" w:rsidRPr="00000000" w14:paraId="00000055">
      <w:pPr>
        <w:keepNext w:val="1"/>
        <w:keepLines w:val="1"/>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Termination Assistance Period the Supplier shall:</w:t>
      </w:r>
    </w:p>
    <w:p w:rsidR="00000000" w:rsidDel="00000000" w:rsidP="00000000" w:rsidRDefault="00000000" w:rsidRPr="00000000" w14:paraId="0000005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reallocate resources to provide such assistance without additional costs to the Buyer;</w:t>
      </w:r>
    </w:p>
    <w:p w:rsidR="00000000" w:rsidDel="00000000" w:rsidP="00000000" w:rsidRDefault="00000000" w:rsidRPr="00000000" w14:paraId="0000005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000000" w:rsidDel="00000000" w:rsidP="00000000" w:rsidRDefault="00000000" w:rsidRPr="00000000" w14:paraId="0000005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Buyer's request and on reasonable notice, deliver up-to-date Registers to the Buyer;</w:t>
      </w:r>
    </w:p>
    <w:p w:rsidR="00000000" w:rsidDel="00000000" w:rsidP="00000000" w:rsidRDefault="00000000" w:rsidRPr="00000000" w14:paraId="0000005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D">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5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when the contract is terminated  </w:t>
      </w:r>
      <w:r w:rsidDel="00000000" w:rsidR="00000000" w:rsidRPr="00000000">
        <w:rPr>
          <w:rtl w:val="0"/>
        </w:rPr>
      </w:r>
    </w:p>
    <w:p w:rsidR="00000000" w:rsidDel="00000000" w:rsidP="00000000" w:rsidRDefault="00000000" w:rsidRPr="00000000" w14:paraId="0000005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of its obligations contained in the Exit Plan.</w:t>
      </w:r>
    </w:p>
    <w:p w:rsidR="00000000" w:rsidDel="00000000" w:rsidP="00000000" w:rsidRDefault="00000000" w:rsidRPr="00000000" w14:paraId="00000060">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vacate any Buyer Premises;</w:t>
      </w:r>
    </w:p>
    <w:p w:rsidR="00000000" w:rsidDel="00000000" w:rsidP="00000000" w:rsidRDefault="00000000" w:rsidRPr="00000000" w14:paraId="0000006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63">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4">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relating to the Deliverables as remains in the possession or control of the Supplier; and</w:t>
      </w:r>
    </w:p>
    <w:p w:rsidR="00000000" w:rsidDel="00000000" w:rsidP="00000000" w:rsidRDefault="00000000" w:rsidRPr="00000000" w14:paraId="00000065">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67">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Assets, Sub-contracts and Software</w:t>
      </w:r>
    </w:p>
    <w:p w:rsidR="00000000" w:rsidDel="00000000" w:rsidP="00000000" w:rsidRDefault="00000000" w:rsidRPr="00000000" w14:paraId="00000068">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enter into or vary any Sub-contract or licence for any software in connection with the Deliverables; or</w:t>
      </w:r>
    </w:p>
    <w:p w:rsidR="00000000" w:rsidDel="00000000" w:rsidP="00000000" w:rsidRDefault="00000000" w:rsidRPr="00000000" w14:paraId="0000006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B">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6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pxezwc"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bookmarkStart w:colFirst="0" w:colLast="0" w:name="bookmark=id.49x2ik5" w:id="29"/>
    <w:bookmarkEnd w:id="29"/>
    <w:p w:rsidR="00000000" w:rsidDel="00000000" w:rsidP="00000000" w:rsidRDefault="00000000" w:rsidRPr="00000000" w14:paraId="0000006D">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w:t>
      </w:r>
    </w:p>
    <w:p w:rsidR="00000000" w:rsidDel="00000000" w:rsidP="00000000" w:rsidRDefault="00000000" w:rsidRPr="00000000" w14:paraId="0000006E">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Exclusive Assets that are not Transferable Assets; and </w:t>
      </w:r>
    </w:p>
    <w:p w:rsidR="00000000" w:rsidDel="00000000" w:rsidP="00000000" w:rsidRDefault="00000000" w:rsidRPr="00000000" w14:paraId="0000006F">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Non-Exclusive Assets,</w:t>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Replacement Supplier requires the continued use of; and</w:t>
      </w:r>
    </w:p>
    <w:p w:rsidR="00000000" w:rsidDel="00000000" w:rsidP="00000000" w:rsidRDefault="00000000" w:rsidRPr="00000000" w14:paraId="0000007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2127"/>
        </w:tabs>
        <w:spacing w:after="120" w:before="120" w:line="240" w:lineRule="auto"/>
        <w:ind w:left="936" w:right="0" w:hanging="349.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7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7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5">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9">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w:t>
      </w:r>
    </w:p>
    <w:p w:rsidR="00000000" w:rsidDel="00000000" w:rsidP="00000000" w:rsidRDefault="00000000" w:rsidRPr="00000000" w14:paraId="0000007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assignments from the Supplier or join with the Supplier in procuring a novation of each Transferring Contract; and</w:t>
      </w:r>
    </w:p>
    <w:p w:rsidR="00000000" w:rsidDel="00000000" w:rsidP="00000000" w:rsidRDefault="00000000" w:rsidRPr="00000000" w14:paraId="0000007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D">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000000" w:rsidDel="00000000" w:rsidP="00000000" w:rsidRDefault="00000000" w:rsidRPr="00000000" w14:paraId="0000007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N</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 charges</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7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80">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ividing the bills </w:t>
      </w:r>
      <w:r w:rsidDel="00000000" w:rsidR="00000000" w:rsidRPr="00000000">
        <w:rPr>
          <w:rtl w:val="0"/>
        </w:rPr>
      </w:r>
    </w:p>
    <w:p w:rsidR="00000000" w:rsidDel="00000000" w:rsidP="00000000" w:rsidRDefault="00000000" w:rsidRPr="00000000" w14:paraId="00000081">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shall be annualised and divided by 365 to reach a daily rate;</w:t>
      </w:r>
    </w:p>
    <w:p w:rsidR="00000000" w:rsidDel="00000000" w:rsidP="00000000" w:rsidRDefault="00000000" w:rsidRPr="00000000" w14:paraId="0000008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8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or entitled to (as the case may be) the rest of the invoice.</w:t>
      </w:r>
    </w:p>
    <w:p w:rsidR="00000000" w:rsidDel="00000000" w:rsidP="00000000" w:rsidRDefault="00000000" w:rsidRPr="00000000" w14:paraId="0000008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RM6187</w:t>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bookmarkStart w:colFirst="0" w:colLast="0" w:name="bookmark=id.vx1227" w:id="39"/>
    <w:bookmarkEnd w:id="3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F">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Framework Ref: RM</w:t>
      <w:tab/>
      <w:t xml:space="preserve">                                           </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10 (Exit Management)</w:t>
    </w:r>
    <w:r w:rsidDel="00000000" w:rsidR="00000000" w:rsidRPr="00000000">
      <w:rPr>
        <w:rtl w:val="0"/>
      </w:rPr>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3559"/>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9.99999999999994"/>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adjustRightInd w:val="0"/>
      <w:spacing w:after="120" w:before="120" w:line="240" w:lineRule="auto"/>
      <w:ind w:left="936" w:hanging="576"/>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ind w:left="3402" w:hanging="567"/>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numPr>
        <w:numId w:val="3"/>
      </w:numPr>
      <w:adjustRightInd w:val="0"/>
      <w:spacing w:after="240" w:line="240" w:lineRule="auto"/>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numPr>
        <w:ilvl w:val="1"/>
        <w:numId w:val="3"/>
      </w:numPr>
      <w:adjustRightInd w:val="0"/>
      <w:spacing w:after="240" w:line="240" w:lineRule="auto"/>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numPr>
        <w:ilvl w:val="2"/>
        <w:numId w:val="3"/>
      </w:numPr>
      <w:adjustRightInd w:val="0"/>
      <w:spacing w:after="240" w:line="240" w:lineRule="auto"/>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numPr>
        <w:ilvl w:val="3"/>
        <w:numId w:val="3"/>
      </w:numPr>
      <w:adjustRightInd w:val="0"/>
      <w:spacing w:after="240" w:line="240" w:lineRule="auto"/>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numPr>
        <w:numId w:val="5"/>
      </w:numPr>
      <w:spacing w:after="240" w:line="240" w:lineRule="auto"/>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numPr>
        <w:ilvl w:val="1"/>
        <w:numId w:val="5"/>
      </w:numPr>
      <w:spacing w:after="210" w:line="264" w:lineRule="auto"/>
      <w:jc w:val="both"/>
    </w:pPr>
    <w:rPr>
      <w:rFonts w:ascii="Times New Roman" w:cs="Times New Roman" w:eastAsia="Times New Roman" w:hAnsi="Times New Roman"/>
      <w:sz w:val="23"/>
      <w:szCs w:val="20"/>
    </w:rPr>
  </w:style>
  <w:style w:type="paragraph" w:styleId="Schedule3" w:customStyle="1">
    <w:name w:val="Schedule 3"/>
    <w:basedOn w:val="Normal"/>
    <w:pPr>
      <w:numPr>
        <w:ilvl w:val="2"/>
        <w:numId w:val="5"/>
      </w:numPr>
      <w:spacing w:after="210" w:line="264" w:lineRule="auto"/>
      <w:jc w:val="both"/>
    </w:pPr>
    <w:rPr>
      <w:rFonts w:ascii="Times New Roman" w:cs="Times New Roman" w:eastAsia="Times New Roman" w:hAnsi="Times New Roman"/>
      <w:sz w:val="23"/>
      <w:szCs w:val="20"/>
    </w:rPr>
  </w:style>
  <w:style w:type="paragraph" w:styleId="Schedule4" w:customStyle="1">
    <w:name w:val="Schedule 4"/>
    <w:basedOn w:val="Normal"/>
    <w:pPr>
      <w:numPr>
        <w:ilvl w:val="3"/>
        <w:numId w:val="5"/>
      </w:numPr>
      <w:spacing w:after="210" w:line="264" w:lineRule="auto"/>
      <w:jc w:val="both"/>
    </w:pPr>
    <w:rPr>
      <w:rFonts w:ascii="Times New Roman" w:cs="Times New Roman" w:eastAsia="Times New Roman" w:hAnsi="Times New Roman"/>
      <w:sz w:val="23"/>
      <w:szCs w:val="20"/>
    </w:rPr>
  </w:style>
  <w:style w:type="paragraph" w:styleId="Schedule5" w:customStyle="1">
    <w:name w:val="Schedule 5"/>
    <w:basedOn w:val="Normal"/>
    <w:next w:val="Normal"/>
    <w:pPr>
      <w:numPr>
        <w:ilvl w:val="4"/>
        <w:numId w:val="5"/>
      </w:numPr>
      <w:spacing w:after="210" w:line="264" w:lineRule="auto"/>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numPr>
        <w:ilvl w:val="5"/>
        <w:numId w:val="5"/>
      </w:numPr>
      <w:spacing w:after="360" w:line="312" w:lineRule="auto"/>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numPr>
        <w:ilvl w:val="6"/>
        <w:numId w:val="5"/>
      </w:numPr>
      <w:spacing w:after="60" w:before="120" w:line="264" w:lineRule="auto"/>
      <w:jc w:val="both"/>
    </w:pPr>
    <w:rPr>
      <w:rFonts w:ascii="Times New Roman Bold" w:cs="Times New Roman" w:eastAsia="Times New Roman" w:hAnsi="Times New Roman Bold"/>
      <w:b w:val="1"/>
      <w:sz w:val="23"/>
      <w:szCs w:val="20"/>
    </w:rPr>
  </w:style>
  <w:style w:type="paragraph" w:styleId="Schedule8" w:customStyle="1">
    <w:name w:val="Schedule 8"/>
    <w:basedOn w:val="Normal"/>
    <w:pPr>
      <w:numPr>
        <w:ilvl w:val="7"/>
        <w:numId w:val="5"/>
      </w:numPr>
      <w:spacing w:after="210" w:line="264" w:lineRule="auto"/>
      <w:jc w:val="both"/>
    </w:pPr>
    <w:rPr>
      <w:rFonts w:ascii="Times New Roman" w:cs="Times New Roman" w:eastAsia="Times New Roman" w:hAnsi="Times New Roman"/>
      <w:sz w:val="23"/>
      <w:szCs w:val="20"/>
    </w:rPr>
  </w:style>
  <w:style w:type="paragraph" w:styleId="Schedule9" w:customStyle="1">
    <w:name w:val="Schedule 9"/>
    <w:basedOn w:val="Normal"/>
    <w:next w:val="Normal"/>
    <w:pPr>
      <w:numPr>
        <w:ilvl w:val="8"/>
        <w:numId w:val="5"/>
      </w:numPr>
      <w:spacing w:after="210" w:line="264" w:lineRule="auto"/>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numPr>
        <w:numId w:val="8"/>
      </w:numPr>
      <w:spacing w:after="210" w:line="264" w:lineRule="auto"/>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ascii="Calibri" w:cs="Times New Roman" w:hAnsi="Calibri"/>
    </w:rPr>
  </w:style>
  <w:style w:type="paragraph" w:styleId="GPSSchTitleandNumber" w:customStyle="1">
    <w:name w:val="GPS Sch Title and Number"/>
    <w:basedOn w:val="Normal"/>
    <w:link w:val="GPSSchTitleandNumberChar"/>
    <w:qFormat w:val="1"/>
    <w:rsid w:val="00D417E2"/>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sid w:val="00D417E2"/>
    <w:rPr>
      <w:rFonts w:ascii="Arial Bold" w:cs="Times New Roman" w:eastAsia="STZhongsong" w:hAnsi="Arial Bold"/>
      <w:b w:val="1"/>
      <w:caps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3Iti3P7o5A5MJB8bWF61eXvHJLA==">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2020-09-09T08:50:00Z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